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600" w:lineRule="exact"/>
        <w:jc w:val="center"/>
        <w:rPr>
          <w:rFonts w:ascii="Times New Roman" w:hAnsi="Times New Roman" w:eastAsia="方正小标宋简体"/>
          <w:spacing w:val="10"/>
          <w:sz w:val="44"/>
          <w:szCs w:val="44"/>
        </w:rPr>
      </w:pPr>
      <w:r>
        <w:rPr>
          <w:rFonts w:ascii="Times New Roman" w:hAnsi="Times New Roman" w:eastAsia="方正小标宋简体"/>
          <w:spacing w:val="10"/>
          <w:sz w:val="44"/>
          <w:szCs w:val="44"/>
        </w:rPr>
        <w:t>泰安市水利局</w:t>
      </w:r>
      <w:r>
        <w:rPr>
          <w:rFonts w:hint="eastAsia" w:ascii="Times New Roman" w:hAnsi="Times New Roman" w:eastAsia="方正小标宋简体"/>
          <w:spacing w:val="10"/>
          <w:sz w:val="44"/>
          <w:szCs w:val="44"/>
        </w:rPr>
        <w:t>关于</w:t>
      </w:r>
      <w:r>
        <w:rPr>
          <w:rFonts w:ascii="Times New Roman" w:hAnsi="Times New Roman" w:eastAsia="方正小标宋简体"/>
          <w:spacing w:val="10"/>
          <w:sz w:val="44"/>
          <w:szCs w:val="44"/>
        </w:rPr>
        <w:t>2021年政府信息公开工作年度报告</w:t>
      </w:r>
      <w:r>
        <w:rPr>
          <w:rFonts w:hint="eastAsia" w:ascii="Times New Roman" w:hAnsi="Times New Roman" w:eastAsia="方正小标宋简体"/>
          <w:spacing w:val="10"/>
          <w:sz w:val="44"/>
          <w:szCs w:val="44"/>
        </w:rPr>
        <w:t>解读</w:t>
      </w:r>
    </w:p>
    <w:p>
      <w:pPr>
        <w:pStyle w:val="3"/>
        <w:spacing w:before="0" w:beforeAutospacing="0" w:after="0" w:afterAutospacing="0" w:line="600" w:lineRule="exact"/>
        <w:ind w:firstLine="880" w:firstLineChars="200"/>
        <w:jc w:val="both"/>
        <w:rPr>
          <w:rFonts w:ascii="Times New Roman" w:hAnsi="Times New Roman" w:eastAsia="方正小标宋简体"/>
          <w:sz w:val="44"/>
          <w:szCs w:val="44"/>
        </w:rPr>
      </w:pPr>
    </w:p>
    <w:p>
      <w:pPr>
        <w:pStyle w:val="3"/>
        <w:spacing w:before="0" w:beforeAutospacing="0" w:after="0" w:afterAutospacing="0"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一、发布依据</w:t>
      </w:r>
    </w:p>
    <w:p>
      <w:pPr>
        <w:pStyle w:val="3"/>
        <w:spacing w:before="0" w:beforeAutospacing="0" w:after="0" w:afterAutospacing="0" w:line="600" w:lineRule="exact"/>
        <w:ind w:firstLine="640" w:firstLineChars="200"/>
        <w:jc w:val="both"/>
        <w:rPr>
          <w:rFonts w:ascii="Times New Roman" w:hAnsi="Times New Roman" w:eastAsia="仿宋"/>
          <w:sz w:val="32"/>
          <w:szCs w:val="32"/>
        </w:rPr>
      </w:pPr>
      <w:r>
        <w:rPr>
          <w:rFonts w:ascii="Times New Roman" w:hAnsi="仿宋" w:eastAsia="仿宋"/>
          <w:sz w:val="32"/>
          <w:szCs w:val="32"/>
        </w:rPr>
        <w:t>根据《中华人民共和国政府信息公开条例》</w:t>
      </w:r>
      <w:r>
        <w:rPr>
          <w:rFonts w:ascii="Times New Roman" w:hAnsi="仿宋" w:eastAsia="仿宋"/>
          <w:color w:val="222222"/>
          <w:sz w:val="32"/>
          <w:szCs w:val="32"/>
        </w:rPr>
        <w:t>第四十九条规定：县级以上人民政府部门应当在每年</w:t>
      </w:r>
      <w:r>
        <w:rPr>
          <w:rFonts w:ascii="Times New Roman" w:hAnsi="Times New Roman" w:eastAsia="仿宋"/>
          <w:color w:val="222222"/>
          <w:sz w:val="32"/>
          <w:szCs w:val="32"/>
        </w:rPr>
        <w:t>1</w:t>
      </w:r>
      <w:r>
        <w:rPr>
          <w:rFonts w:ascii="Times New Roman" w:hAnsi="仿宋" w:eastAsia="仿宋"/>
          <w:color w:val="222222"/>
          <w:sz w:val="32"/>
          <w:szCs w:val="32"/>
        </w:rPr>
        <w:t>月</w:t>
      </w:r>
      <w:r>
        <w:rPr>
          <w:rFonts w:ascii="Times New Roman" w:hAnsi="Times New Roman" w:eastAsia="仿宋"/>
          <w:color w:val="222222"/>
          <w:sz w:val="32"/>
          <w:szCs w:val="32"/>
        </w:rPr>
        <w:t>31</w:t>
      </w:r>
      <w:r>
        <w:rPr>
          <w:rFonts w:ascii="Times New Roman" w:hAnsi="仿宋" w:eastAsia="仿宋"/>
          <w:color w:val="222222"/>
          <w:sz w:val="32"/>
          <w:szCs w:val="32"/>
        </w:rPr>
        <w:t>日前向本级政府信息公开工作主管部门提交本行政机关上一年度政府信息公开工作年度报告并向社会公布。</w:t>
      </w:r>
    </w:p>
    <w:p>
      <w:pPr>
        <w:pStyle w:val="3"/>
        <w:spacing w:before="0" w:beforeAutospacing="0" w:after="0" w:afterAutospacing="0" w:line="600" w:lineRule="exact"/>
        <w:ind w:firstLine="640" w:firstLineChars="200"/>
        <w:jc w:val="both"/>
        <w:rPr>
          <w:rFonts w:hint="eastAsia" w:ascii="黑体" w:hAnsi="黑体" w:eastAsia="黑体"/>
          <w:sz w:val="32"/>
          <w:szCs w:val="32"/>
        </w:rPr>
      </w:pPr>
      <w:r>
        <w:rPr>
          <w:rFonts w:hint="eastAsia" w:ascii="黑体" w:hAnsi="黑体" w:eastAsia="黑体"/>
          <w:sz w:val="32"/>
          <w:szCs w:val="32"/>
        </w:rPr>
        <w:t>二、主要内容</w:t>
      </w:r>
    </w:p>
    <w:p>
      <w:pPr>
        <w:pStyle w:val="3"/>
        <w:spacing w:before="0" w:beforeAutospacing="0" w:after="0" w:afterAutospacing="0" w:line="600" w:lineRule="exact"/>
        <w:ind w:firstLine="640" w:firstLineChars="200"/>
        <w:jc w:val="both"/>
        <w:rPr>
          <w:rFonts w:hint="eastAsia" w:ascii="Times New Roman" w:hAnsi="Times New Roman" w:eastAsia="仿宋"/>
          <w:sz w:val="32"/>
          <w:szCs w:val="32"/>
        </w:rPr>
      </w:pPr>
      <w:r>
        <w:rPr>
          <w:rFonts w:hint="eastAsia" w:ascii="Times New Roman" w:hAnsi="Times New Roman" w:eastAsia="仿宋"/>
          <w:sz w:val="32"/>
          <w:szCs w:val="32"/>
        </w:rPr>
        <w:t>全局2021年度政府信息公开工作</w:t>
      </w:r>
      <w:r>
        <w:rPr>
          <w:rFonts w:ascii="Times New Roman" w:hAnsi="Times New Roman" w:eastAsia="仿宋"/>
          <w:sz w:val="32"/>
          <w:szCs w:val="32"/>
        </w:rPr>
        <w:t>总体情况；行政机关主动公开政府信息的情况；行政机关收到和处理政府信息公开申请的情况；因政府信息公开工作被申请行政复议、提起行政诉讼的情况；政府信息公开工作存在的主要问题及改进情况；其他需要报告的事项。报告中所列数据的统计期限自2021年1月1日起至2021年12月31日止。</w:t>
      </w:r>
    </w:p>
    <w:p>
      <w:pPr>
        <w:pStyle w:val="3"/>
        <w:spacing w:before="0" w:beforeAutospacing="0" w:after="0" w:afterAutospacing="0" w:line="600" w:lineRule="exact"/>
        <w:ind w:firstLine="640" w:firstLineChars="200"/>
        <w:rPr>
          <w:rFonts w:hint="eastAsia" w:ascii="Times New Roman" w:hAnsi="Times New Roman" w:eastAsia="黑体"/>
          <w:color w:val="333333"/>
          <w:sz w:val="28"/>
          <w:szCs w:val="28"/>
        </w:rPr>
      </w:pPr>
      <w:r>
        <w:rPr>
          <w:rFonts w:hint="eastAsia" w:ascii="Times New Roman" w:hAnsi="Times New Roman" w:eastAsia="黑体"/>
          <w:color w:val="333333"/>
          <w:sz w:val="32"/>
          <w:szCs w:val="32"/>
        </w:rPr>
        <w:t>三、图表展示</w:t>
      </w:r>
    </w:p>
    <w:p>
      <w:pPr>
        <w:pStyle w:val="3"/>
        <w:spacing w:before="0" w:beforeAutospacing="0" w:after="0" w:afterAutospacing="0" w:line="600" w:lineRule="exact"/>
        <w:jc w:val="center"/>
        <w:rPr>
          <w:rFonts w:ascii="Times New Roman" w:hAnsi="Times New Roman" w:eastAsia="黑体"/>
          <w:color w:val="333333"/>
          <w:sz w:val="28"/>
          <w:szCs w:val="28"/>
        </w:rPr>
      </w:pPr>
      <w:r>
        <w:rPr>
          <w:rFonts w:ascii="Times New Roman" w:hAnsi="Times New Roman" w:eastAsia="黑体"/>
          <w:color w:val="333333"/>
          <w:sz w:val="28"/>
          <w:szCs w:val="28"/>
        </w:rPr>
        <w:t>主动公开政府信息情况</w:t>
      </w:r>
    </w:p>
    <w:tbl>
      <w:tblPr>
        <w:tblStyle w:val="4"/>
        <w:tblW w:w="8824" w:type="dxa"/>
        <w:tblInd w:w="0" w:type="dxa"/>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第二十条第（一）项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信息内容</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本年制发件数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本年废止件数</w:t>
            </w:r>
          </w:p>
        </w:tc>
        <w:tc>
          <w:tcPr>
            <w:tcW w:w="2206"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现行有效件数</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规章</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行政规范性文件</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c>
          <w:tcPr>
            <w:tcW w:w="2206" w:type="dxa"/>
            <w:tcBorders>
              <w:top w:val="nil"/>
              <w:left w:val="nil"/>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color w:val="000000"/>
                <w:kern w:val="0"/>
                <w:szCs w:val="21"/>
                <w:lang w:val="en-US" w:eastAsia="zh-CN"/>
              </w:rPr>
            </w:pPr>
            <w:r>
              <w:rPr>
                <w:rFonts w:ascii="Times New Roman" w:hAnsi="Times New Roman" w:eastAsia="仿宋_GB2312" w:cs="Times New Roman"/>
                <w:color w:val="000000"/>
                <w:kern w:val="0"/>
                <w:szCs w:val="21"/>
              </w:rPr>
              <w:t>　</w:t>
            </w:r>
            <w:r>
              <w:rPr>
                <w:rFonts w:hint="eastAsia" w:ascii="Times New Roman" w:hAnsi="Times New Roman" w:eastAsia="仿宋_GB2312" w:cs="Times New Roman"/>
                <w:color w:val="000000"/>
                <w:kern w:val="0"/>
                <w:szCs w:val="21"/>
                <w:lang w:val="en-US" w:eastAsia="zh-CN"/>
              </w:rPr>
              <w:t>1</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第二十条第（五）项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第二十条第（六）项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r>
      <w:tr>
        <w:tblPrEx>
          <w:tblCellMar>
            <w:top w:w="0" w:type="dxa"/>
            <w:left w:w="108" w:type="dxa"/>
            <w:bottom w:w="0" w:type="dxa"/>
            <w:right w:w="108" w:type="dxa"/>
          </w:tblCellMar>
        </w:tblPrEx>
        <w:trPr>
          <w:trHeight w:val="567" w:hRule="atLeast"/>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Times New Roman" w:hAnsi="Times New Roman" w:eastAsia="黑体" w:cs="Times New Roman"/>
                <w:color w:val="000000"/>
                <w:kern w:val="0"/>
                <w:szCs w:val="21"/>
              </w:rPr>
            </w:pPr>
            <w:r>
              <w:rPr>
                <w:rFonts w:ascii="Times New Roman" w:hAnsi="Times New Roman" w:eastAsia="黑体" w:cs="Times New Roman"/>
                <w:color w:val="000000"/>
                <w:kern w:val="0"/>
                <w:szCs w:val="21"/>
              </w:rPr>
              <w:t>第二十条第（八）项</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0</w:t>
            </w:r>
          </w:p>
        </w:tc>
      </w:tr>
      <w:tr>
        <w:tblPrEx>
          <w:tblCellMar>
            <w:top w:w="0" w:type="dxa"/>
            <w:left w:w="108" w:type="dxa"/>
            <w:bottom w:w="0" w:type="dxa"/>
            <w:right w:w="108" w:type="dxa"/>
          </w:tblCellMar>
        </w:tblPrEx>
        <w:trPr>
          <w:trHeight w:val="567" w:hRule="atLeast"/>
        </w:trPr>
        <w:tc>
          <w:tcPr>
            <w:tcW w:w="2206"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全年公开政府信息</w:t>
            </w:r>
          </w:p>
        </w:tc>
        <w:tc>
          <w:tcPr>
            <w:tcW w:w="6618"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549</w:t>
            </w:r>
            <w:r>
              <w:rPr>
                <w:rFonts w:hint="eastAsia" w:ascii="Times New Roman" w:hAnsi="Times New Roman" w:eastAsia="仿宋_GB2312" w:cs="Times New Roman"/>
                <w:color w:val="000000"/>
                <w:kern w:val="0"/>
                <w:szCs w:val="21"/>
              </w:rPr>
              <w:t>条</w:t>
            </w:r>
          </w:p>
        </w:tc>
      </w:tr>
    </w:tbl>
    <w:p>
      <w:pPr>
        <w:rPr>
          <w:rFonts w:ascii="Times New Roman" w:hAnsi="Times New Roman" w:eastAsia="仿宋" w:cs="Times New Roman"/>
          <w:sz w:val="32"/>
          <w:szCs w:val="32"/>
        </w:rPr>
      </w:pPr>
    </w:p>
    <w:p>
      <w:pPr>
        <w:jc w:val="center"/>
        <w:rPr>
          <w:rFonts w:ascii="Times New Roman" w:hAnsi="Times New Roman" w:eastAsia="黑体" w:cs="Times New Roman"/>
          <w:color w:val="333333"/>
          <w:sz w:val="28"/>
          <w:szCs w:val="28"/>
        </w:rPr>
      </w:pPr>
      <w:r>
        <w:rPr>
          <w:rFonts w:ascii="Times New Roman" w:hAnsi="Times New Roman" w:eastAsia="黑体" w:cs="Times New Roman"/>
          <w:color w:val="333333"/>
          <w:sz w:val="28"/>
          <w:szCs w:val="28"/>
        </w:rPr>
        <w:t>收到和处理政府信息公开申请情况</w:t>
      </w:r>
    </w:p>
    <w:tbl>
      <w:tblPr>
        <w:tblStyle w:val="4"/>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Times New Roman" w:hAnsi="Times New Roman" w:eastAsia="楷体_GB2312" w:cs="Times New Roman"/>
                <w:kern w:val="0"/>
                <w:szCs w:val="21"/>
              </w:rPr>
            </w:pPr>
            <w:r>
              <w:rPr>
                <w:rFonts w:ascii="Times New Roman" w:hAnsi="Times New Roman" w:eastAsia="楷体_GB2312" w:cs="Times New Roman"/>
                <w:kern w:val="0"/>
                <w:szCs w:val="21"/>
              </w:rPr>
              <w:t>（本列数据的勾稽关系为：第一项加第二项之和，</w:t>
            </w:r>
          </w:p>
          <w:p>
            <w:pPr>
              <w:widowControl/>
              <w:jc w:val="center"/>
              <w:rPr>
                <w:rFonts w:ascii="Times New Roman" w:hAnsi="Times New Roman" w:eastAsia="仿宋_GB2312" w:cs="Times New Roman"/>
                <w:szCs w:val="21"/>
              </w:rPr>
            </w:pPr>
            <w:r>
              <w:rPr>
                <w:rFonts w:ascii="Times New Roman" w:hAnsi="Times New Roman" w:eastAsia="楷体_GB2312" w:cs="Times New Roman"/>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Times New Roman" w:hAnsi="Times New Roman" w:eastAsia="黑体" w:cs="Times New Roman"/>
                <w:szCs w:val="21"/>
              </w:rPr>
            </w:pPr>
            <w:r>
              <w:rPr>
                <w:rFonts w:ascii="Times New Roman" w:hAnsi="Times New Roman" w:eastAsia="黑体" w:cs="Times New Roman"/>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Times New Roman" w:hAnsi="Times New Roman" w:eastAsia="仿宋_GB2312" w:cs="Times New Roman"/>
                <w:szCs w:val="21"/>
              </w:rPr>
            </w:pPr>
          </w:p>
        </w:tc>
        <w:tc>
          <w:tcPr>
            <w:tcW w:w="829" w:type="dxa"/>
            <w:vMerge w:val="restart"/>
            <w:shd w:val="clear" w:color="auto" w:fill="auto"/>
            <w:tcMar>
              <w:left w:w="108" w:type="dxa"/>
              <w:right w:w="108" w:type="dxa"/>
            </w:tcMar>
            <w:vAlign w:val="center"/>
          </w:tcPr>
          <w:p>
            <w:pPr>
              <w:widowControl/>
              <w:jc w:val="center"/>
              <w:rPr>
                <w:rFonts w:ascii="Times New Roman" w:hAnsi="Times New Roman" w:eastAsia="黑体" w:cs="Times New Roman"/>
                <w:szCs w:val="21"/>
              </w:rPr>
            </w:pPr>
            <w:r>
              <w:rPr>
                <w:rFonts w:ascii="Times New Roman" w:hAnsi="Times New Roman" w:eastAsia="黑体" w:cs="Times New Roman"/>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Times New Roman" w:hAnsi="Times New Roman" w:eastAsia="黑体" w:cs="Times New Roman"/>
                <w:szCs w:val="21"/>
              </w:rPr>
            </w:pPr>
            <w:r>
              <w:rPr>
                <w:rFonts w:ascii="Times New Roman" w:hAnsi="Times New Roman" w:eastAsia="黑体" w:cs="Times New Roman"/>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Times New Roman" w:hAnsi="Times New Roman" w:eastAsia="黑体" w:cs="Times New Roman"/>
                <w:szCs w:val="21"/>
              </w:rPr>
            </w:pPr>
            <w:r>
              <w:rPr>
                <w:rFonts w:ascii="Times New Roman" w:hAnsi="Times New Roman" w:eastAsia="黑体" w:cs="Times New Roman"/>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Times New Roman" w:hAnsi="Times New Roman" w:eastAsia="仿宋_GB2312" w:cs="Times New Roman"/>
                <w:szCs w:val="21"/>
              </w:rPr>
            </w:pPr>
          </w:p>
        </w:tc>
        <w:tc>
          <w:tcPr>
            <w:tcW w:w="829" w:type="dxa"/>
            <w:vMerge w:val="continue"/>
            <w:shd w:val="clear" w:color="auto" w:fill="auto"/>
            <w:tcMar>
              <w:left w:w="108" w:type="dxa"/>
              <w:right w:w="108" w:type="dxa"/>
            </w:tcMar>
            <w:vAlign w:val="center"/>
          </w:tcPr>
          <w:p>
            <w:pPr>
              <w:jc w:val="center"/>
              <w:rPr>
                <w:rFonts w:ascii="Times New Roman" w:hAnsi="Times New Roman" w:eastAsia="黑体" w:cs="Times New Roman"/>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黑体" w:cs="Times New Roman"/>
                <w:szCs w:val="21"/>
              </w:rPr>
            </w:pPr>
            <w:r>
              <w:rPr>
                <w:rFonts w:ascii="Times New Roman" w:hAnsi="Times New Roman" w:eastAsia="黑体" w:cs="Times New Roman"/>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eastAsia="黑体" w:cs="Times New Roman"/>
                <w:szCs w:val="21"/>
              </w:rPr>
            </w:pPr>
            <w:r>
              <w:rPr>
                <w:rFonts w:ascii="Times New Roman" w:hAnsi="Times New Roman" w:eastAsia="黑体" w:cs="Times New Roman"/>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Times New Roman" w:hAnsi="Times New Roman" w:eastAsia="黑体" w:cs="Times New Roman"/>
                <w:szCs w:val="21"/>
              </w:rPr>
            </w:pPr>
            <w:r>
              <w:rPr>
                <w:rFonts w:ascii="Times New Roman" w:hAnsi="Times New Roman" w:eastAsia="黑体" w:cs="Times New Roman"/>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Times New Roman" w:hAnsi="Times New Roman" w:eastAsia="黑体" w:cs="Times New Roman"/>
                <w:szCs w:val="21"/>
              </w:rPr>
            </w:pPr>
            <w:r>
              <w:rPr>
                <w:rFonts w:ascii="Times New Roman" w:hAnsi="Times New Roman" w:eastAsia="黑体" w:cs="Times New Roman"/>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Times New Roman" w:hAnsi="Times New Roman" w:eastAsia="黑体" w:cs="Times New Roman"/>
                <w:szCs w:val="21"/>
              </w:rPr>
            </w:pPr>
            <w:r>
              <w:rPr>
                <w:rFonts w:ascii="Times New Roman" w:hAnsi="Times New Roman" w:eastAsia="黑体" w:cs="Times New Roman"/>
                <w:kern w:val="0"/>
                <w:szCs w:val="21"/>
              </w:rPr>
              <w:t>其他</w:t>
            </w:r>
          </w:p>
        </w:tc>
        <w:tc>
          <w:tcPr>
            <w:tcW w:w="851" w:type="dxa"/>
            <w:vMerge w:val="continue"/>
            <w:shd w:val="clear" w:color="auto" w:fill="auto"/>
            <w:tcMar>
              <w:left w:w="108" w:type="dxa"/>
              <w:right w:w="108" w:type="dxa"/>
            </w:tcMar>
            <w:vAlign w:val="center"/>
          </w:tcPr>
          <w:p>
            <w:pPr>
              <w:jc w:val="center"/>
              <w:rPr>
                <w:rFonts w:ascii="Times New Roman" w:hAnsi="Times New Roman" w:eastAsia="仿宋_GB2312"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Times New Roman" w:hAnsi="Times New Roman" w:eastAsia="黑体" w:cs="Times New Roman"/>
                <w:szCs w:val="21"/>
              </w:rPr>
            </w:pPr>
            <w:r>
              <w:rPr>
                <w:rFonts w:ascii="Times New Roman" w:hAnsi="Times New Roman" w:eastAsia="黑体" w:cs="Times New Roman"/>
                <w:kern w:val="0"/>
                <w:szCs w:val="21"/>
              </w:rPr>
              <w:t>一、</w:t>
            </w:r>
            <w:bookmarkStart w:id="0" w:name="_Hlk66973412"/>
            <w:r>
              <w:rPr>
                <w:rFonts w:ascii="Times New Roman" w:hAnsi="Times New Roman" w:eastAsia="黑体" w:cs="Times New Roman"/>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Times New Roman" w:hAnsi="Times New Roman" w:eastAsia="黑体" w:cs="Times New Roman"/>
                <w:szCs w:val="21"/>
              </w:rPr>
            </w:pPr>
            <w:r>
              <w:rPr>
                <w:rFonts w:ascii="Times New Roman" w:hAnsi="Times New Roman" w:eastAsia="黑体" w:cs="Times New Roman"/>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Times New Roman" w:hAnsi="Times New Roman" w:eastAsia="黑体" w:cs="Times New Roman"/>
                <w:szCs w:val="21"/>
              </w:rPr>
            </w:pPr>
            <w:r>
              <w:rPr>
                <w:rFonts w:ascii="Times New Roman" w:hAnsi="Times New Roman" w:eastAsia="黑体" w:cs="Times New Roman"/>
                <w:kern w:val="0"/>
                <w:szCs w:val="21"/>
              </w:rPr>
              <w:t>三、本年度办理结果</w:t>
            </w:r>
          </w:p>
        </w:tc>
        <w:tc>
          <w:tcPr>
            <w:tcW w:w="4677" w:type="dxa"/>
            <w:gridSpan w:val="2"/>
            <w:shd w:val="clear" w:color="auto" w:fill="auto"/>
            <w:tcMar>
              <w:left w:w="108" w:type="dxa"/>
              <w:right w:w="108" w:type="dxa"/>
            </w:tcMar>
            <w:vAlign w:val="center"/>
          </w:tcPr>
          <w:p>
            <w:pPr>
              <w:widowControl/>
              <w:rPr>
                <w:rFonts w:ascii="Times New Roman" w:hAnsi="Times New Roman" w:eastAsia="黑体" w:cs="Times New Roman"/>
                <w:szCs w:val="21"/>
              </w:rPr>
            </w:pPr>
            <w:r>
              <w:rPr>
                <w:rFonts w:ascii="Times New Roman" w:hAnsi="Times New Roman" w:eastAsia="黑体" w:cs="Times New Roman"/>
                <w:kern w:val="0"/>
                <w:szCs w:val="21"/>
              </w:rPr>
              <w:t>（一）予以公开</w:t>
            </w:r>
          </w:p>
        </w:tc>
        <w:tc>
          <w:tcPr>
            <w:tcW w:w="829"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rPr>
                <w:rFonts w:ascii="Times New Roman" w:hAnsi="Times New Roman" w:eastAsia="黑体" w:cs="Times New Roman"/>
                <w:szCs w:val="21"/>
              </w:rPr>
            </w:pPr>
            <w:r>
              <w:rPr>
                <w:rFonts w:ascii="Times New Roman" w:hAnsi="Times New Roman" w:eastAsia="黑体" w:cs="Times New Roman"/>
                <w:kern w:val="0"/>
                <w:szCs w:val="21"/>
              </w:rPr>
              <w:t>（二）部分公开（</w:t>
            </w:r>
            <w:bookmarkStart w:id="1" w:name="_Hlk66973981"/>
            <w:r>
              <w:rPr>
                <w:rFonts w:ascii="Times New Roman" w:hAnsi="Times New Roman" w:eastAsia="黑体" w:cs="Times New Roman"/>
                <w:kern w:val="0"/>
                <w:szCs w:val="21"/>
              </w:rPr>
              <w:t>区分处理的，只计这一情形，不计其他情形</w:t>
            </w:r>
            <w:bookmarkEnd w:id="1"/>
            <w:r>
              <w:rPr>
                <w:rFonts w:ascii="Times New Roman" w:hAnsi="Times New Roman" w:eastAsia="黑体" w:cs="Times New Roman"/>
                <w:kern w:val="0"/>
                <w:szCs w:val="21"/>
              </w:rPr>
              <w:t>）</w:t>
            </w:r>
          </w:p>
        </w:tc>
        <w:tc>
          <w:tcPr>
            <w:tcW w:w="829"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黑体" w:cs="Times New Roman"/>
                <w:szCs w:val="21"/>
              </w:rPr>
            </w:pPr>
            <w:r>
              <w:rPr>
                <w:rFonts w:ascii="Times New Roman" w:hAnsi="Times New Roman" w:eastAsia="黑体" w:cs="Times New Roman"/>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2.</w:t>
            </w:r>
            <w:bookmarkStart w:id="2" w:name="_Hlk66974104"/>
            <w:r>
              <w:rPr>
                <w:rFonts w:ascii="Times New Roman" w:hAnsi="Times New Roman" w:eastAsia="仿宋_GB2312" w:cs="Times New Roman"/>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4.</w:t>
            </w:r>
            <w:bookmarkStart w:id="3" w:name="_Hlk66974290"/>
            <w:r>
              <w:rPr>
                <w:rFonts w:ascii="Times New Roman" w:hAnsi="Times New Roman" w:eastAsia="仿宋_GB2312" w:cs="Times New Roman"/>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6.</w:t>
            </w:r>
            <w:bookmarkStart w:id="4" w:name="_Hlk66974555"/>
            <w:r>
              <w:rPr>
                <w:rFonts w:ascii="Times New Roman" w:hAnsi="Times New Roman" w:eastAsia="仿宋_GB2312" w:cs="Times New Roman"/>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8.</w:t>
            </w:r>
            <w:bookmarkStart w:id="5" w:name="_Hlk66975211"/>
            <w:r>
              <w:rPr>
                <w:rFonts w:ascii="Times New Roman" w:hAnsi="Times New Roman" w:eastAsia="仿宋_GB2312" w:cs="Times New Roman"/>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黑体" w:cs="Times New Roman"/>
                <w:szCs w:val="21"/>
              </w:rPr>
            </w:pPr>
            <w:r>
              <w:rPr>
                <w:rFonts w:ascii="Times New Roman" w:hAnsi="Times New Roman" w:eastAsia="黑体" w:cs="Times New Roman"/>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2.</w:t>
            </w:r>
            <w:bookmarkStart w:id="6" w:name="_Hlk66975392"/>
            <w:r>
              <w:rPr>
                <w:rFonts w:ascii="Times New Roman" w:hAnsi="Times New Roman" w:eastAsia="仿宋_GB2312" w:cs="Times New Roman"/>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3.</w:t>
            </w:r>
            <w:bookmarkStart w:id="7" w:name="_Hlk66975466"/>
            <w:r>
              <w:rPr>
                <w:rFonts w:ascii="Times New Roman" w:hAnsi="Times New Roman" w:eastAsia="仿宋_GB2312" w:cs="Times New Roman"/>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Times New Roman" w:hAnsi="Times New Roman" w:eastAsia="黑体" w:cs="Times New Roman"/>
                <w:szCs w:val="21"/>
              </w:rPr>
            </w:pPr>
            <w:r>
              <w:rPr>
                <w:rFonts w:ascii="Times New Roman" w:hAnsi="Times New Roman" w:eastAsia="黑体" w:cs="Times New Roman"/>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1.</w:t>
            </w:r>
            <w:bookmarkStart w:id="8" w:name="_Hlk66975537"/>
            <w:r>
              <w:rPr>
                <w:rFonts w:ascii="Times New Roman" w:hAnsi="Times New Roman" w:eastAsia="仿宋_GB2312" w:cs="Times New Roman"/>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szCs w:val="21"/>
              </w:rPr>
            </w:pPr>
            <w:r>
              <w:rPr>
                <w:rFonts w:ascii="Times New Roman" w:hAnsi="Times New Roman" w:eastAsia="仿宋_GB2312" w:cs="Times New Roman"/>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200" w:lineRule="exact"/>
              <w:rPr>
                <w:rFonts w:ascii="Times New Roman" w:hAnsi="Times New Roman" w:eastAsia="仿宋_GB2312" w:cs="Times New Roman"/>
                <w:szCs w:val="21"/>
              </w:rPr>
            </w:pPr>
            <w:r>
              <w:rPr>
                <w:rFonts w:ascii="Times New Roman" w:hAnsi="Times New Roman" w:eastAsia="仿宋_GB2312" w:cs="Times New Roman"/>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spacing w:line="200" w:lineRule="exact"/>
              <w:rPr>
                <w:rFonts w:ascii="Times New Roman" w:hAnsi="Times New Roman" w:eastAsia="黑体" w:cs="Times New Roman"/>
                <w:szCs w:val="21"/>
              </w:rPr>
            </w:pPr>
          </w:p>
        </w:tc>
        <w:tc>
          <w:tcPr>
            <w:tcW w:w="2976" w:type="dxa"/>
            <w:shd w:val="clear" w:color="auto" w:fill="auto"/>
            <w:tcMar>
              <w:left w:w="108" w:type="dxa"/>
              <w:right w:w="108" w:type="dxa"/>
            </w:tcMar>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5.要求行政机关确认或重新</w:t>
            </w:r>
          </w:p>
          <w:p>
            <w:pPr>
              <w:widowControl/>
              <w:spacing w:line="300" w:lineRule="exact"/>
              <w:ind w:firstLine="210" w:firstLineChars="100"/>
              <w:rPr>
                <w:rFonts w:ascii="Times New Roman" w:hAnsi="Times New Roman" w:eastAsia="仿宋_GB2312" w:cs="Times New Roman"/>
                <w:szCs w:val="21"/>
              </w:rPr>
            </w:pPr>
            <w:r>
              <w:rPr>
                <w:rFonts w:ascii="Times New Roman" w:hAnsi="Times New Roman" w:eastAsia="仿宋_GB2312" w:cs="Times New Roman"/>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restart"/>
            <w:shd w:val="clear" w:color="auto" w:fill="auto"/>
            <w:tcMar>
              <w:left w:w="108" w:type="dxa"/>
              <w:right w:w="108" w:type="dxa"/>
            </w:tcMar>
            <w:vAlign w:val="center"/>
          </w:tcPr>
          <w:p>
            <w:pPr>
              <w:widowControl/>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（六）其他处理</w:t>
            </w:r>
          </w:p>
        </w:tc>
        <w:tc>
          <w:tcPr>
            <w:tcW w:w="2976" w:type="dxa"/>
            <w:shd w:val="clear" w:color="auto" w:fill="auto"/>
            <w:vAlign w:val="center"/>
          </w:tcPr>
          <w:p>
            <w:pPr>
              <w:widowControl/>
              <w:spacing w:line="300" w:lineRule="exact"/>
              <w:rPr>
                <w:rFonts w:ascii="Times New Roman" w:hAnsi="Times New Roman" w:eastAsia="仿宋_GB2312" w:cs="Times New Roman"/>
              </w:rPr>
            </w:pPr>
            <w:r>
              <w:rPr>
                <w:rFonts w:ascii="Times New Roman" w:hAnsi="Times New Roman" w:eastAsia="仿宋_GB2312" w:cs="Times New Roman"/>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spacing w:line="300" w:lineRule="exact"/>
              <w:rPr>
                <w:rFonts w:ascii="Times New Roman" w:hAnsi="Times New Roman" w:eastAsia="黑体" w:cs="Times New Roman"/>
                <w:kern w:val="0"/>
                <w:szCs w:val="21"/>
              </w:rPr>
            </w:pPr>
          </w:p>
        </w:tc>
        <w:tc>
          <w:tcPr>
            <w:tcW w:w="2976" w:type="dxa"/>
            <w:shd w:val="clear" w:color="auto" w:fill="auto"/>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1701" w:type="dxa"/>
            <w:vMerge w:val="continue"/>
            <w:shd w:val="clear" w:color="auto" w:fill="auto"/>
            <w:tcMar>
              <w:left w:w="108" w:type="dxa"/>
              <w:right w:w="108" w:type="dxa"/>
            </w:tcMar>
            <w:vAlign w:val="center"/>
          </w:tcPr>
          <w:p>
            <w:pPr>
              <w:widowControl/>
              <w:spacing w:line="300" w:lineRule="exact"/>
              <w:rPr>
                <w:rFonts w:ascii="Times New Roman" w:hAnsi="Times New Roman" w:eastAsia="黑体" w:cs="Times New Roman"/>
                <w:kern w:val="0"/>
                <w:szCs w:val="21"/>
              </w:rPr>
            </w:pPr>
          </w:p>
        </w:tc>
        <w:tc>
          <w:tcPr>
            <w:tcW w:w="2976" w:type="dxa"/>
            <w:shd w:val="clear" w:color="auto" w:fill="auto"/>
            <w:vAlign w:val="center"/>
          </w:tcPr>
          <w:p>
            <w:pPr>
              <w:widowControl/>
              <w:spacing w:line="300" w:lineRule="exact"/>
              <w:rPr>
                <w:rFonts w:ascii="Times New Roman" w:hAnsi="Times New Roman" w:eastAsia="仿宋_GB2312" w:cs="Times New Roman"/>
                <w:kern w:val="0"/>
                <w:szCs w:val="21"/>
              </w:rPr>
            </w:pPr>
            <w:r>
              <w:rPr>
                <w:rFonts w:ascii="Times New Roman" w:hAnsi="Times New Roman" w:eastAsia="仿宋_GB2312" w:cs="Times New Roman"/>
              </w:rPr>
              <w:t>3.其他</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Times New Roman" w:hAnsi="Times New Roman" w:eastAsia="黑体" w:cs="Times New Roman"/>
                <w:szCs w:val="21"/>
              </w:rPr>
            </w:pPr>
          </w:p>
        </w:tc>
        <w:tc>
          <w:tcPr>
            <w:tcW w:w="4677" w:type="dxa"/>
            <w:gridSpan w:val="2"/>
            <w:shd w:val="clear" w:color="auto" w:fill="auto"/>
            <w:tcMar>
              <w:left w:w="108" w:type="dxa"/>
              <w:right w:w="108" w:type="dxa"/>
            </w:tcMar>
            <w:vAlign w:val="center"/>
          </w:tcPr>
          <w:p>
            <w:pPr>
              <w:widowControl/>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line="200" w:lineRule="exact"/>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3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708"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567"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851" w:type="dxa"/>
            <w:shd w:val="clear" w:color="auto" w:fill="auto"/>
            <w:tcMar>
              <w:left w:w="108" w:type="dxa"/>
              <w:right w:w="108" w:type="dxa"/>
            </w:tcMar>
            <w:vAlign w:val="center"/>
          </w:tcPr>
          <w:p>
            <w:pPr>
              <w:widowControl/>
              <w:spacing w:after="180"/>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bl>
    <w:p>
      <w:pPr>
        <w:pStyle w:val="3"/>
        <w:spacing w:before="0" w:beforeAutospacing="0" w:after="0" w:afterAutospacing="0" w:line="600" w:lineRule="exact"/>
        <w:jc w:val="both"/>
        <w:rPr>
          <w:rFonts w:ascii="Times New Roman" w:hAnsi="Times New Roman" w:eastAsia="黑体"/>
          <w:color w:val="333333"/>
          <w:sz w:val="32"/>
          <w:szCs w:val="32"/>
        </w:rPr>
      </w:pPr>
    </w:p>
    <w:p>
      <w:pPr>
        <w:pStyle w:val="3"/>
        <w:spacing w:before="0" w:beforeAutospacing="0" w:after="0" w:afterAutospacing="0" w:line="600" w:lineRule="exact"/>
        <w:jc w:val="center"/>
        <w:rPr>
          <w:rFonts w:ascii="Times New Roman" w:hAnsi="Times New Roman" w:eastAsia="黑体"/>
          <w:color w:val="333333"/>
          <w:sz w:val="28"/>
          <w:szCs w:val="28"/>
        </w:rPr>
      </w:pPr>
      <w:r>
        <w:rPr>
          <w:rFonts w:ascii="Times New Roman" w:hAnsi="Times New Roman" w:eastAsia="黑体"/>
          <w:color w:val="333333"/>
          <w:sz w:val="28"/>
          <w:szCs w:val="28"/>
        </w:rPr>
        <w:t>政府信息公开行政复议、行政诉讼情况</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黑体" w:cs="Times New Roman"/>
              </w:rPr>
            </w:pPr>
            <w:r>
              <w:rPr>
                <w:rFonts w:ascii="Times New Roman" w:hAnsi="Times New Roman" w:eastAsia="黑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黑体" w:cs="Times New Roman"/>
              </w:rPr>
            </w:pPr>
            <w:r>
              <w:rPr>
                <w:rFonts w:ascii="Times New Roman" w:hAnsi="Times New Roman" w:eastAsia="黑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结果</w:t>
            </w:r>
          </w:p>
          <w:p>
            <w:pPr>
              <w:widowControl/>
              <w:ind w:left="-149" w:leftChars="-71" w:right="-170" w:rightChars="-81"/>
              <w:jc w:val="center"/>
              <w:rPr>
                <w:rFonts w:ascii="Times New Roman" w:hAnsi="Times New Roman" w:eastAsia="黑体" w:cs="Times New Roman"/>
              </w:rPr>
            </w:pPr>
            <w:r>
              <w:rPr>
                <w:rFonts w:ascii="Times New Roman" w:hAnsi="Times New Roman" w:eastAsia="黑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Times New Roman" w:hAnsi="Times New Roman" w:eastAsia="黑体" w:cs="Times New Roman"/>
              </w:rPr>
            </w:pPr>
            <w:r>
              <w:rPr>
                <w:rFonts w:ascii="Times New Roman" w:hAnsi="Times New Roman" w:eastAsia="黑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Times New Roman" w:hAnsi="Times New Roman" w:eastAsia="黑体" w:cs="Times New Roman"/>
              </w:rPr>
            </w:pPr>
            <w:r>
              <w:rPr>
                <w:rFonts w:ascii="Times New Roman" w:hAnsi="Times New Roman" w:eastAsia="黑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尚未</w:t>
            </w:r>
          </w:p>
          <w:p>
            <w:pPr>
              <w:widowControl/>
              <w:ind w:left="-118" w:leftChars="-56" w:right="-118" w:rightChars="-56"/>
              <w:jc w:val="center"/>
              <w:rPr>
                <w:rFonts w:ascii="Times New Roman" w:hAnsi="Times New Roman" w:eastAsia="黑体" w:cs="Times New Roman"/>
              </w:rPr>
            </w:pPr>
            <w:r>
              <w:rPr>
                <w:rFonts w:ascii="Times New Roman" w:hAnsi="Times New Roman" w:eastAsia="黑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总</w:t>
            </w:r>
          </w:p>
          <w:p>
            <w:pPr>
              <w:widowControl/>
              <w:spacing w:line="320" w:lineRule="exact"/>
              <w:jc w:val="center"/>
              <w:rPr>
                <w:rFonts w:ascii="Times New Roman" w:hAnsi="Times New Roman" w:eastAsia="黑体" w:cs="Times New Roman"/>
              </w:rPr>
            </w:pPr>
            <w:r>
              <w:rPr>
                <w:rFonts w:ascii="Times New Roman" w:hAnsi="Times New Roman" w:eastAsia="黑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黑体" w:cs="Times New Roman"/>
              </w:rPr>
            </w:pPr>
            <w:r>
              <w:rPr>
                <w:rFonts w:ascii="Times New Roman" w:hAnsi="Times New Roman" w:eastAsia="黑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黑体" w:cs="Times New Roman"/>
              </w:rPr>
            </w:pPr>
            <w:bookmarkStart w:id="9" w:name="_Hlk67039688"/>
            <w:r>
              <w:rPr>
                <w:rFonts w:ascii="Times New Roman" w:hAnsi="Times New Roman" w:eastAsia="黑体" w:cs="Times New Roman"/>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黑体"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黑体"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黑体"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Times New Roman" w:hAnsi="Times New Roman" w:eastAsia="黑体"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Times New Roman" w:hAnsi="Times New Roman" w:eastAsia="黑体" w:cs="Times New Roman"/>
              </w:rPr>
            </w:pPr>
            <w:r>
              <w:rPr>
                <w:rFonts w:ascii="Times New Roman" w:hAnsi="Times New Roman" w:eastAsia="黑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Times New Roman" w:hAnsi="Times New Roman" w:eastAsia="黑体" w:cs="Times New Roman"/>
              </w:rPr>
            </w:pPr>
            <w:r>
              <w:rPr>
                <w:rFonts w:ascii="Times New Roman" w:hAnsi="Times New Roman" w:eastAsia="黑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其他</w:t>
            </w:r>
          </w:p>
          <w:p>
            <w:pPr>
              <w:widowControl/>
              <w:ind w:left="-126" w:leftChars="-60" w:right="-136" w:rightChars="-65"/>
              <w:jc w:val="center"/>
              <w:rPr>
                <w:rFonts w:ascii="Times New Roman" w:hAnsi="Times New Roman" w:eastAsia="黑体" w:cs="Times New Roman"/>
              </w:rPr>
            </w:pPr>
            <w:r>
              <w:rPr>
                <w:rFonts w:ascii="Times New Roman" w:hAnsi="Times New Roman" w:eastAsia="黑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尚未</w:t>
            </w:r>
          </w:p>
          <w:p>
            <w:pPr>
              <w:widowControl/>
              <w:ind w:left="-164" w:leftChars="-78" w:right="-153" w:rightChars="-73"/>
              <w:jc w:val="center"/>
              <w:rPr>
                <w:rFonts w:ascii="Times New Roman" w:hAnsi="Times New Roman" w:eastAsia="黑体" w:cs="Times New Roman"/>
              </w:rPr>
            </w:pPr>
            <w:r>
              <w:rPr>
                <w:rFonts w:ascii="Times New Roman" w:hAnsi="Times New Roman" w:eastAsia="黑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黑体" w:cs="Times New Roman"/>
              </w:rPr>
            </w:pPr>
            <w:r>
              <w:rPr>
                <w:rFonts w:ascii="Times New Roman" w:hAnsi="Times New Roman" w:eastAsia="黑体" w:cs="Times New Roman"/>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Times New Roman" w:hAnsi="Times New Roman" w:eastAsia="黑体" w:cs="Times New Roman"/>
              </w:rPr>
            </w:pPr>
            <w:r>
              <w:rPr>
                <w:rFonts w:ascii="Times New Roman" w:hAnsi="Times New Roman" w:eastAsia="黑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结果</w:t>
            </w:r>
          </w:p>
          <w:p>
            <w:pPr>
              <w:widowControl/>
              <w:ind w:left="-136" w:leftChars="-65" w:right="-124" w:rightChars="-59"/>
              <w:jc w:val="center"/>
              <w:rPr>
                <w:rFonts w:ascii="Times New Roman" w:hAnsi="Times New Roman" w:eastAsia="黑体" w:cs="Times New Roman"/>
              </w:rPr>
            </w:pPr>
            <w:r>
              <w:rPr>
                <w:rFonts w:ascii="Times New Roman" w:hAnsi="Times New Roman" w:eastAsia="黑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Times New Roman" w:hAnsi="Times New Roman" w:eastAsia="黑体" w:cs="Times New Roman"/>
                <w:kern w:val="0"/>
                <w:sz w:val="20"/>
                <w:szCs w:val="20"/>
              </w:rPr>
            </w:pPr>
            <w:r>
              <w:rPr>
                <w:rFonts w:ascii="Times New Roman" w:hAnsi="Times New Roman" w:eastAsia="黑体" w:cs="Times New Roman"/>
                <w:kern w:val="0"/>
                <w:sz w:val="20"/>
                <w:szCs w:val="20"/>
              </w:rPr>
              <w:t>其他</w:t>
            </w:r>
          </w:p>
          <w:p>
            <w:pPr>
              <w:widowControl/>
              <w:ind w:left="-173" w:leftChars="-83" w:right="-134" w:rightChars="-64" w:hanging="1"/>
              <w:jc w:val="center"/>
              <w:rPr>
                <w:rFonts w:ascii="Times New Roman" w:hAnsi="Times New Roman" w:eastAsia="黑体" w:cs="Times New Roman"/>
              </w:rPr>
            </w:pPr>
            <w:r>
              <w:rPr>
                <w:rFonts w:ascii="Times New Roman" w:hAnsi="Times New Roman" w:eastAsia="黑体" w:cs="Times New Roman"/>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Times New Roman" w:hAnsi="Times New Roman" w:eastAsia="黑体" w:cs="Times New Roman"/>
              </w:rPr>
            </w:pPr>
            <w:r>
              <w:rPr>
                <w:rFonts w:ascii="Times New Roman" w:hAnsi="Times New Roman" w:eastAsia="黑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Times New Roman" w:hAnsi="Times New Roman" w:eastAsia="黑体" w:cs="Times New Roman"/>
              </w:rPr>
            </w:pPr>
            <w:r>
              <w:rPr>
                <w:rFonts w:ascii="Times New Roman" w:hAnsi="Times New Roman" w:eastAsia="黑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ascii="Times New Roman" w:hAnsi="Times New Roman" w:cs="Times New Roman"/>
              </w:rPr>
            </w:pPr>
            <w:r>
              <w:rPr>
                <w:rFonts w:ascii="Times New Roman" w:hAnsi="Times New Roman" w:cs="Times New Roman"/>
              </w:rPr>
              <w:t>1</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ascii="Times New Roman" w:hAnsi="Times New Roman" w:cs="Times New Roman"/>
              </w:rPr>
            </w:pPr>
            <w:r>
              <w:rPr>
                <w:rFonts w:ascii="Times New Roman" w:hAnsi="Times New Roman" w:cs="Times New Roman"/>
              </w:rPr>
              <w:t>1</w:t>
            </w:r>
          </w:p>
        </w:tc>
      </w:tr>
    </w:tbl>
    <w:p>
      <w:pPr>
        <w:pStyle w:val="3"/>
        <w:spacing w:before="0" w:beforeAutospacing="0" w:after="0" w:afterAutospacing="0" w:line="600" w:lineRule="exact"/>
        <w:jc w:val="both"/>
        <w:rPr>
          <w:rFonts w:hint="eastAsia" w:ascii="Times New Roman" w:hAnsi="Times New Roman" w:eastAsia="仿宋"/>
          <w:color w:val="333333"/>
          <w:sz w:val="32"/>
          <w:szCs w:val="32"/>
        </w:rPr>
      </w:pPr>
    </w:p>
    <w:p>
      <w:pPr>
        <w:pStyle w:val="3"/>
        <w:spacing w:before="0" w:beforeAutospacing="0" w:after="0" w:afterAutospacing="0" w:line="600" w:lineRule="exact"/>
        <w:jc w:val="both"/>
        <w:rPr>
          <w:rFonts w:ascii="Times New Roman" w:hAnsi="Times New Roman" w:eastAsia="仿宋"/>
          <w:color w:val="333333"/>
          <w:sz w:val="32"/>
          <w:szCs w:val="32"/>
        </w:rPr>
      </w:pPr>
    </w:p>
    <w:p>
      <w:pPr>
        <w:pStyle w:val="3"/>
        <w:spacing w:before="0" w:beforeAutospacing="0" w:after="0" w:afterAutospacing="0" w:line="600" w:lineRule="exact"/>
        <w:ind w:firstLine="640" w:firstLineChars="200"/>
        <w:jc w:val="both"/>
        <w:rPr>
          <w:rFonts w:ascii="Times New Roman" w:hAnsi="Times New Roman" w:eastAsia="黑体"/>
          <w:color w:val="333333"/>
          <w:sz w:val="32"/>
          <w:szCs w:val="32"/>
        </w:rPr>
      </w:pPr>
      <w:r>
        <w:rPr>
          <w:rFonts w:hint="eastAsia" w:ascii="Times New Roman" w:hAnsi="Times New Roman" w:eastAsia="黑体"/>
          <w:color w:val="333333"/>
          <w:sz w:val="32"/>
          <w:szCs w:val="32"/>
        </w:rPr>
        <w:t>四</w:t>
      </w:r>
      <w:r>
        <w:rPr>
          <w:rFonts w:ascii="Times New Roman" w:hAnsi="Times New Roman" w:eastAsia="黑体"/>
          <w:color w:val="333333"/>
          <w:sz w:val="32"/>
          <w:szCs w:val="32"/>
        </w:rPr>
        <w:t>、存在问题</w:t>
      </w:r>
    </w:p>
    <w:p>
      <w:pPr>
        <w:pStyle w:val="3"/>
        <w:spacing w:before="0" w:beforeAutospacing="0" w:after="0" w:afterAutospacing="0" w:line="600" w:lineRule="exact"/>
        <w:ind w:firstLine="640" w:firstLineChars="200"/>
        <w:jc w:val="both"/>
        <w:rPr>
          <w:rFonts w:hint="eastAsia" w:ascii="仿宋" w:hAnsi="仿宋" w:eastAsia="仿宋"/>
          <w:sz w:val="32"/>
          <w:szCs w:val="32"/>
        </w:rPr>
      </w:pPr>
      <w:r>
        <w:rPr>
          <w:rFonts w:hint="eastAsia" w:ascii="仿宋" w:hAnsi="仿宋" w:eastAsia="仿宋"/>
          <w:sz w:val="32"/>
          <w:szCs w:val="32"/>
        </w:rPr>
        <w:t>在</w:t>
      </w:r>
      <w:r>
        <w:rPr>
          <w:rFonts w:ascii="仿宋" w:hAnsi="仿宋" w:eastAsia="仿宋"/>
          <w:sz w:val="32"/>
          <w:szCs w:val="32"/>
          <w:shd w:val="clear" w:color="auto" w:fill="FFFFFF"/>
        </w:rPr>
        <w:t>公开</w:t>
      </w:r>
      <w:r>
        <w:rPr>
          <w:rFonts w:hint="eastAsia" w:ascii="仿宋" w:hAnsi="仿宋" w:eastAsia="仿宋"/>
          <w:sz w:val="32"/>
          <w:szCs w:val="32"/>
          <w:shd w:val="clear" w:color="auto" w:fill="FFFFFF"/>
        </w:rPr>
        <w:t>范围还有待拓宽</w:t>
      </w:r>
      <w:r>
        <w:rPr>
          <w:rFonts w:ascii="仿宋" w:hAnsi="仿宋" w:eastAsia="仿宋"/>
          <w:sz w:val="32"/>
          <w:szCs w:val="32"/>
          <w:shd w:val="clear" w:color="auto" w:fill="FFFFFF"/>
        </w:rPr>
        <w:t>、</w:t>
      </w:r>
      <w:r>
        <w:rPr>
          <w:rFonts w:ascii="仿宋" w:hAnsi="仿宋" w:eastAsia="仿宋"/>
          <w:sz w:val="32"/>
          <w:szCs w:val="32"/>
        </w:rPr>
        <w:t>公开规范性还有待提升、</w:t>
      </w:r>
      <w:r>
        <w:rPr>
          <w:rFonts w:hint="eastAsia" w:ascii="仿宋" w:hAnsi="仿宋" w:eastAsia="仿宋"/>
          <w:sz w:val="32"/>
          <w:szCs w:val="32"/>
        </w:rPr>
        <w:t>公开针对性</w:t>
      </w:r>
      <w:r>
        <w:rPr>
          <w:rFonts w:ascii="仿宋" w:hAnsi="仿宋" w:eastAsia="仿宋"/>
          <w:sz w:val="32"/>
          <w:szCs w:val="32"/>
        </w:rPr>
        <w:t>还有待加强</w:t>
      </w:r>
      <w:r>
        <w:rPr>
          <w:rFonts w:hint="eastAsia" w:ascii="仿宋" w:hAnsi="仿宋" w:eastAsia="仿宋"/>
          <w:sz w:val="32"/>
          <w:szCs w:val="32"/>
        </w:rPr>
        <w:t>等三个方面提出了存在问题。</w:t>
      </w:r>
    </w:p>
    <w:p>
      <w:pPr>
        <w:pStyle w:val="3"/>
        <w:spacing w:before="0" w:beforeAutospacing="0" w:after="0" w:afterAutospacing="0" w:line="600" w:lineRule="exact"/>
        <w:ind w:firstLine="640" w:firstLineChars="200"/>
        <w:jc w:val="both"/>
        <w:rPr>
          <w:rFonts w:hint="eastAsia" w:ascii="Times New Roman" w:hAnsi="Times New Roman" w:eastAsia="黑体"/>
          <w:sz w:val="32"/>
          <w:szCs w:val="32"/>
        </w:rPr>
      </w:pPr>
      <w:r>
        <w:rPr>
          <w:rFonts w:hint="eastAsia" w:ascii="Times New Roman" w:hAnsi="Times New Roman" w:eastAsia="黑体"/>
          <w:sz w:val="32"/>
          <w:szCs w:val="32"/>
        </w:rPr>
        <w:t>五、整改措施</w:t>
      </w:r>
    </w:p>
    <w:p>
      <w:pPr>
        <w:pStyle w:val="3"/>
        <w:spacing w:before="0" w:beforeAutospacing="0" w:after="0" w:afterAutospacing="0" w:line="600" w:lineRule="exact"/>
        <w:ind w:firstLine="640" w:firstLineChars="200"/>
        <w:jc w:val="both"/>
        <w:rPr>
          <w:rFonts w:hint="eastAsia" w:ascii="仿宋" w:hAnsi="仿宋" w:eastAsia="仿宋"/>
          <w:color w:val="000000"/>
          <w:sz w:val="32"/>
          <w:szCs w:val="32"/>
          <w:shd w:val="clear" w:color="auto" w:fill="FFFFFF"/>
        </w:rPr>
      </w:pPr>
      <w:r>
        <w:rPr>
          <w:rFonts w:hint="eastAsia" w:ascii="仿宋" w:hAnsi="仿宋" w:eastAsia="仿宋"/>
          <w:sz w:val="32"/>
          <w:szCs w:val="32"/>
        </w:rPr>
        <w:t>从</w:t>
      </w:r>
      <w:r>
        <w:rPr>
          <w:rFonts w:ascii="仿宋" w:hAnsi="仿宋" w:eastAsia="仿宋"/>
          <w:sz w:val="32"/>
          <w:szCs w:val="32"/>
        </w:rPr>
        <w:t>继续强化组织领导，严格责任落实；不断优化服务功能，加强平台建设；</w:t>
      </w:r>
      <w:r>
        <w:rPr>
          <w:rFonts w:ascii="仿宋" w:hAnsi="仿宋" w:eastAsia="仿宋"/>
          <w:color w:val="000000"/>
          <w:sz w:val="32"/>
          <w:szCs w:val="32"/>
          <w:shd w:val="clear" w:color="auto" w:fill="FFFFFF"/>
        </w:rPr>
        <w:t>全方位做好政策解读，提升公开质效</w:t>
      </w:r>
      <w:r>
        <w:rPr>
          <w:rFonts w:hint="eastAsia" w:ascii="仿宋" w:hAnsi="仿宋" w:eastAsia="仿宋"/>
          <w:color w:val="000000"/>
          <w:sz w:val="32"/>
          <w:szCs w:val="32"/>
          <w:shd w:val="clear" w:color="auto" w:fill="FFFFFF"/>
        </w:rPr>
        <w:t>等三个方面提出了整改目标和任务。</w:t>
      </w:r>
    </w:p>
    <w:p>
      <w:pPr>
        <w:pStyle w:val="3"/>
        <w:adjustRightInd w:val="0"/>
        <w:snapToGrid w:val="0"/>
        <w:spacing w:before="0" w:beforeAutospacing="0" w:after="0" w:afterAutospacing="0" w:line="360" w:lineRule="auto"/>
        <w:ind w:firstLine="640" w:firstLineChars="200"/>
        <w:jc w:val="both"/>
        <w:rPr>
          <w:rFonts w:ascii="Times New Roman" w:hAnsi="Times New Roman" w:eastAsia="仿宋"/>
          <w:sz w:val="32"/>
          <w:szCs w:val="32"/>
          <w:shd w:val="clear" w:color="auto" w:fill="FFFFFF"/>
        </w:rPr>
      </w:pPr>
    </w:p>
    <w:p>
      <w:bookmarkStart w:id="10" w:name="_GoBack"/>
      <w:bookmarkEnd w:id="10"/>
    </w:p>
    <w:sectPr>
      <w:footerReference r:id="rId3" w:type="default"/>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ascii="Times New Roman" w:hAnsi="Times New Roman" w:cs="Times New Roman"/>
        <w:sz w:val="24"/>
        <w:szCs w:val="24"/>
      </w:rPr>
      <w:t xml:space="preserve">— </w:t>
    </w:r>
    <w:sdt>
      <w:sdtPr>
        <w:rPr>
          <w:rFonts w:ascii="Times New Roman" w:hAnsi="Times New Roman" w:cs="Times New Roman"/>
          <w:sz w:val="24"/>
          <w:szCs w:val="24"/>
        </w:rPr>
        <w:id w:val="3190876"/>
      </w:sdtPr>
      <w:sdtEndPr>
        <w:rPr>
          <w:rFonts w:asciiTheme="minorHAnsi" w:hAnsiTheme="minorHAnsi" w:cstheme="minorBidi"/>
          <w:sz w:val="18"/>
          <w:szCs w:val="18"/>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MTk5MjI3N2FjODdjN2RjYmI5ZWJmOWJjYjM3OTUifQ=="/>
  </w:docVars>
  <w:rsids>
    <w:rsidRoot w:val="76ED2312"/>
    <w:rsid w:val="76ED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2023-01-31T09:09:00Z</dcterms:created>
  <dc:creator>万维软件部</dc:creator>
  <cp:lastModifiedBy>万维软件部</cp:lastModifiedBy>
  <dcterms:modified xsi:type="dcterms:W3CDTF">2023-01-31T09:10:17Z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FDA7E39217064103A53B877468218FF2</vt:lpwstr>
  </property>
</Properties>
</file>